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2C" w:rsidRPr="00CD6F5C" w:rsidRDefault="00B8692C" w:rsidP="00B8692C">
      <w:pPr>
        <w:shd w:val="clear" w:color="auto" w:fill="FFFFFF"/>
        <w:spacing w:after="390" w:line="58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</w:pPr>
      <w:r w:rsidRPr="00CD6F5C"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  <w:t>ТРЕБОВАНИЯ К ПРИБОРАМ УЧЕТА ЭЛЕКТРИЧЕСКОЙ ЭНЕРГИИ</w:t>
      </w:r>
    </w:p>
    <w:p w:rsidR="0099510B" w:rsidRDefault="00B8692C" w:rsidP="0099510B">
      <w:pPr>
        <w:shd w:val="clear" w:color="auto" w:fill="FFFFFF"/>
        <w:spacing w:after="390" w:line="20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  <w:t>С 1 января 2022 г. для учета электрической энергии (мощности) подлежат установке приборы учета, соответствующие требованиям к приборам учета электрической энергии, которые могут быть присоединены к интеллектуальной системе учета электрической энергии (мощности), в соответствии с правилами предоставления доступа к минимальному набору функций интеллектуальных систем учета электрической энергии (мощности)</w:t>
      </w:r>
      <w:r w:rsidRPr="0099510B"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  <w:t xml:space="preserve"> </w:t>
      </w: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(Основание п. 14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 РФ №442 от 04.05.2012).</w:t>
      </w:r>
    </w:p>
    <w:p w:rsidR="00B8692C" w:rsidRPr="0099510B" w:rsidRDefault="00B8692C" w:rsidP="0099510B">
      <w:pPr>
        <w:shd w:val="clear" w:color="auto" w:fill="FFFFFF"/>
        <w:spacing w:after="390" w:line="20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  <w:t>•</w:t>
      </w:r>
      <w:r w:rsidRPr="0099510B"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  <w:tab/>
        <w:t>Каждый установленный расчетный прибор учета должен иметь на винтах, крепящих кожух прибора учета, пломбы с клеймом метрологической поверки, а на зажимной крышке – пломбу сетевой компании.</w:t>
      </w:r>
    </w:p>
    <w:p w:rsidR="00B8692C" w:rsidRPr="0099510B" w:rsidRDefault="00B8692C" w:rsidP="0099510B">
      <w:pPr>
        <w:shd w:val="clear" w:color="auto" w:fill="FFFFFF"/>
        <w:spacing w:after="390" w:line="200" w:lineRule="atLeast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  <w:t>•</w:t>
      </w:r>
      <w:r w:rsidRPr="0099510B">
        <w:rPr>
          <w:rFonts w:ascii="Times New Roman" w:eastAsia="Times New Roman" w:hAnsi="Times New Roman" w:cs="Times New Roman"/>
          <w:color w:val="313131"/>
          <w:kern w:val="36"/>
          <w:sz w:val="24"/>
          <w:szCs w:val="24"/>
          <w:lang w:eastAsia="ru-RU"/>
        </w:rPr>
        <w:tab/>
        <w:t>Наличие действующей поверки прибора учета подтверждается наличием читаемой пломбы метрологической поверки и, как правило, предоставлением документа – паспорта-формуляра на прибор учета или свидетельства о поверке. В документах на прибор учета должны быть отметки о настройках тарифного расписания и местного времени.</w:t>
      </w:r>
    </w:p>
    <w:p w:rsidR="00B8692C" w:rsidRPr="0099510B" w:rsidRDefault="00B8692C" w:rsidP="0099510B">
      <w:pPr>
        <w:shd w:val="clear" w:color="auto" w:fill="FFFFFF"/>
        <w:spacing w:after="390" w:line="240" w:lineRule="atLeast"/>
        <w:ind w:firstLine="709"/>
        <w:textAlignment w:val="baseline"/>
        <w:outlineLvl w:val="0"/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</w:pPr>
    </w:p>
    <w:p w:rsidR="00CD6F5C" w:rsidRDefault="00B8692C" w:rsidP="00CD6F5C">
      <w:pPr>
        <w:shd w:val="clear" w:color="auto" w:fill="FFFFFF"/>
        <w:spacing w:after="390" w:line="2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  <w:t>ОБЩИЕ ТРЕБОВАНИЯ</w:t>
      </w:r>
    </w:p>
    <w:p w:rsidR="00B8692C" w:rsidRPr="0099510B" w:rsidRDefault="00B8692C" w:rsidP="00CD6F5C">
      <w:pPr>
        <w:shd w:val="clear" w:color="auto" w:fill="FFFFFF"/>
        <w:spacing w:after="390" w:line="2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b/>
          <w:color w:val="313131"/>
          <w:kern w:val="36"/>
          <w:sz w:val="24"/>
          <w:szCs w:val="24"/>
          <w:lang w:eastAsia="ru-RU"/>
        </w:rPr>
        <w:t>К МЕСТУ УСТАНОВКИ ПРИБОРОВ УЧЕТА ЭЛЕКТРИЧЕСКОЙ ЭНЕРГИИ</w:t>
      </w:r>
    </w:p>
    <w:p w:rsidR="00B8692C" w:rsidRPr="0099510B" w:rsidRDefault="00B8692C" w:rsidP="0099510B">
      <w:pPr>
        <w:shd w:val="clear" w:color="auto" w:fill="FFFFFF"/>
        <w:spacing w:after="0" w:line="24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92C" w:rsidRPr="0099510B" w:rsidRDefault="00B8692C" w:rsidP="0099510B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установкой прибора учета понимается монтаж прибора учета впервые в отношении точки поставки. Под заменой прибора учета понимается монтаж прибора учета после демонтажа ранее установленного прибора учета в данной точке</w:t>
      </w:r>
    </w:p>
    <w:p w:rsidR="00881B71" w:rsidRPr="00881B71" w:rsidRDefault="00881B71" w:rsidP="0099510B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учета подлежат установке на границах балансовой принадлежности объектов электроэнергетики (</w:t>
      </w:r>
      <w:proofErr w:type="spellStart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смежных субъектов розничного рынка: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потребителей,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производителей электрической энергии (мощности) на розничных рынках,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сетевых организаций,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границу балансовой принадлежности.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технической возможности установки прибора учета на границе балансовой принадлежности объектов электроэнергетики (</w:t>
      </w:r>
      <w:proofErr w:type="spellStart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смежных субъектов розничного рынка прибор учета подлежит установке в месте, максимально приближенном к границе балансовой принадлежности, в котором имеется техническая возможность его установки.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 соглашению между смежными субъектами розничного рынка прибор учета, подлежащий использованию для определения объемов потребления (производства, передачи) электрической энергии одного субъекта, может быть установлен в границах объектов электроэнергетики (</w:t>
      </w:r>
      <w:proofErr w:type="spellStart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другого смежного субъекта.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прибор учета, в том числе коллективный (общедомовой) прибор учета в многоквартирном доме, расположен не на границе балансовой принадлежности объектов электроэнергетики (</w:t>
      </w:r>
      <w:proofErr w:type="spellStart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устройств) смежных субъектов розничного рынка, то объем потребления (производства, передачи) электрической энергии, определенный на основании показаний такого прибора учета, в целях осуществления расчетов по договору подлежит корректировке на величину потерь электрической энергии, возникающих на участке сети от границы балансовой принадлежности объектов электроэнергетики (</w:t>
      </w:r>
      <w:proofErr w:type="spellStart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устройств) до места установки прибора учета. При этом расчет величины потерь осуществляется сетевой организацией в соответствии с актом уполномоченного федерального органа, регламентирующим расчет нормативов технологических потерь электрической энергии при ее передаче по электрическим сетям.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(Основание п. 14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 РФ №442 от 04.05.2012).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учета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</w:t>
      </w:r>
    </w:p>
    <w:p w:rsidR="00881B71" w:rsidRPr="00881B71" w:rsidRDefault="00881B71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от пола до коробки зажимов приборов учета должна быть в пределах 0,8-1,7 м. Допускается высота менее 0,8 м, но не менее 0,4 м.</w:t>
      </w:r>
    </w:p>
    <w:p w:rsidR="007318EE" w:rsidRPr="0099510B" w:rsidRDefault="007318EE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Измерительный комплекс должен быть 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защищён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несанкционированного доступа для исключения возможности искажения результатов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измерений.</w:t>
      </w:r>
    </w:p>
    <w:p w:rsidR="007318EE" w:rsidRPr="0099510B" w:rsidRDefault="007318EE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имеется опасность механических повреждений приборов учета или их загрязнения, или в местах, доступных для посторонних лиц, для приборов учета должен предусматриваться запирающийся шкаф с окошком на уровне циферблата. Аналогичные шкафы должны устанавливаться также для совместного размещения приборов учета и трансформаторов тока при выполнении учета на стороне низшего напряжения.</w:t>
      </w:r>
    </w:p>
    <w:p w:rsidR="007318EE" w:rsidRPr="0099510B" w:rsidRDefault="007318EE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от несанкционированного доступа электроизмерительных приборов, коммутационных аппаратов и 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разъёмных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электрических цепей в цепях 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производиться их маркирование специальными знаками визуального контроля в соответствии с установленными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требованиями.</w:t>
      </w: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ПОДКЛЮЧЕНИЯ ПРИБОРОВ УЧЕТА ЭЛЕКТРИЧЕСКОЙ ЭНЕРГИИ</w:t>
      </w: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приборов учета электрической энергии осуществляется в соответствии с требованиями правил устройства электроустановок и инструкций заводов-изготовителей.</w:t>
      </w: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включения приборов учета должны соответствовать схемам, приведенным производителем в паспортах на приборы учета.</w:t>
      </w:r>
    </w:p>
    <w:p w:rsidR="0099510B" w:rsidRDefault="0099510B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ПОДКЛЮЧЕНИЯ ОДНОФАЗНОГО ПРИБОРА УЧЕТА</w:t>
      </w:r>
    </w:p>
    <w:p w:rsidR="007D5C08" w:rsidRPr="0099510B" w:rsidRDefault="007D5C08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3785130" cy="2333549"/>
            <wp:effectExtent l="0" t="0" r="6350" b="0"/>
            <wp:docPr id="1" name="Рисунок 1" descr="C:\Users\NYPREUTP\Desktop\trebovanija_k_priboram_ucheta_i_ih_ustanovk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PREUTP\Desktop\trebovanija_k_priboram_ucheta_i_ih_ustanovke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19" cy="236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B9" w:rsidRDefault="00C911B9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1B9" w:rsidRDefault="00C911B9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F64" w:rsidRPr="0099510B" w:rsidRDefault="003C7035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СХЕМА ПОДКЛЮЧЕНИЯ ТРЕХФАЗНОГО ПРИБОРА УЧЕТА</w:t>
      </w:r>
    </w:p>
    <w:p w:rsidR="007D5C08" w:rsidRPr="0099510B" w:rsidRDefault="003C7035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ТРЕХ ИЛИ ЧЕТЫРЕХ ПРОВОДНОЙ СЕТИ</w:t>
      </w:r>
    </w:p>
    <w:p w:rsidR="003C7035" w:rsidRPr="0099510B" w:rsidRDefault="003C7035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4136816" cy="2288421"/>
            <wp:effectExtent l="0" t="0" r="0" b="0"/>
            <wp:docPr id="2" name="Рисунок 2" descr="C:\Users\NYPREUTP\Desktop\trebovanija_k_priboram_ucheta_i_ih_ustanovk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YPREUTP\Desktop\trebovanija_k_priboram_ucheta_i_ih_ustanovk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219" cy="23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35" w:rsidRPr="0099510B" w:rsidRDefault="003C7035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3F64" w:rsidRPr="0099510B" w:rsidRDefault="009C3F64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ПОДКЛЮЧЕНИЯ ТРЕХФАЗНОГО ПРИБОРА УЧЕТА</w:t>
      </w:r>
    </w:p>
    <w:p w:rsidR="009C3F64" w:rsidRPr="0099510B" w:rsidRDefault="009C3F64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ТРЕХ ТРАНСФОРМАТОРОВ ТОКА</w:t>
      </w:r>
    </w:p>
    <w:p w:rsidR="003C7035" w:rsidRPr="0099510B" w:rsidRDefault="009C3F64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ТРЕХФАЗНОЙ ТРЕХ ИЛИ ЧЕТЫРЕХ ПРОВОДНОЙ СЕТИ</w:t>
      </w:r>
    </w:p>
    <w:p w:rsidR="009C3F64" w:rsidRPr="0099510B" w:rsidRDefault="009C3F64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4082379" cy="2765146"/>
            <wp:effectExtent l="0" t="0" r="0" b="0"/>
            <wp:docPr id="3" name="Рисунок 3" descr="C:\Users\NYPREUTP\Desktop\trebovanija_k_priboram_ucheta_i_ih_ustanovk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YPREUTP\Desktop\trebovanija_k_priboram_ucheta_i_ih_ustanovk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621" cy="280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5C" w:rsidRDefault="00CD6F5C" w:rsidP="00C911B9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1B9" w:rsidRDefault="0099510B" w:rsidP="00C911B9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ПОДКЛЮЧЕНИЯ ТРЕХФАЗНОГО ПРИБОРА УЧЕТА</w:t>
      </w:r>
    </w:p>
    <w:p w:rsidR="00C911B9" w:rsidRDefault="0099510B" w:rsidP="00C911B9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ТРЕХ Т</w:t>
      </w:r>
      <w:bookmarkStart w:id="0" w:name="_GoBack"/>
      <w:bookmarkEnd w:id="0"/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РАНСФОРМАТОРОВ ТОКА И ТРЕХ ТРАНСФОРМАТОРОВ </w:t>
      </w:r>
    </w:p>
    <w:p w:rsidR="009C3F64" w:rsidRPr="0099510B" w:rsidRDefault="0099510B" w:rsidP="00C911B9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НАПРЯЖЕНИЯ К ТРЕХФАЗНОЙ ТРЕХ ИЛИ ЧЕТЫРЕХ ПРОВОДНОЙ СЕТИ</w:t>
      </w:r>
    </w:p>
    <w:p w:rsidR="0099510B" w:rsidRPr="0099510B" w:rsidRDefault="0099510B" w:rsidP="0099510B">
      <w:pPr>
        <w:shd w:val="clear" w:color="auto" w:fill="FFFFFF"/>
        <w:spacing w:before="195" w:after="195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42913" cy="2414016"/>
            <wp:effectExtent l="0" t="0" r="0" b="5715"/>
            <wp:docPr id="4" name="Рисунок 4" descr="C:\Users\NYPREUTP\Desktop\trebovanija_k_priboram_ucheta_i_ih_ustanovk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YPREUTP\Desktop\trebovanija_k_priboram_ucheta_i_ih_ustanovk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620" cy="244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10B" w:rsidRPr="00881B71" w:rsidRDefault="00CD6F5C" w:rsidP="0099510B">
      <w:pPr>
        <w:shd w:val="clear" w:color="auto" w:fill="FFFFFF"/>
        <w:spacing w:before="195" w:after="195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представленные выше схемы подключения электросчетчиков являются типовыми и могут отличаться в зависимости от завода-изготовителя и места установки. При установке электросчетчика необходимо руководствоваться паспортом завода-изготовителя на данное изделие.</w:t>
      </w:r>
    </w:p>
    <w:sectPr w:rsidR="0099510B" w:rsidRPr="00881B71" w:rsidSect="00C911B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71"/>
    <w:rsid w:val="0010037E"/>
    <w:rsid w:val="003C7035"/>
    <w:rsid w:val="007318EE"/>
    <w:rsid w:val="007D5C08"/>
    <w:rsid w:val="00881B71"/>
    <w:rsid w:val="0099510B"/>
    <w:rsid w:val="009C3F64"/>
    <w:rsid w:val="00A23D90"/>
    <w:rsid w:val="00B8692C"/>
    <w:rsid w:val="00C911B9"/>
    <w:rsid w:val="00C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E583-A2B3-4654-B1BA-69C6ECC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NYPREUTP</dc:creator>
  <cp:keywords/>
  <dc:description/>
  <cp:lastModifiedBy>NYPREUTP</cp:lastModifiedBy>
  <cp:revision>5</cp:revision>
  <dcterms:created xsi:type="dcterms:W3CDTF">2024-12-04T05:25:00Z</dcterms:created>
  <dcterms:modified xsi:type="dcterms:W3CDTF">2024-12-04T06:46:00Z</dcterms:modified>
</cp:coreProperties>
</file>